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A5" w:rsidRDefault="00490344" w:rsidP="006C13A5">
      <w:pPr>
        <w:pStyle w:val="af0"/>
        <w:spacing w:before="8" w:after="0"/>
        <w:rPr>
          <w:sz w:val="25"/>
          <w:lang w:val="en-US"/>
        </w:rPr>
      </w:pPr>
      <w:r w:rsidRPr="00221761">
        <w:rPr>
          <w:noProof/>
          <w:lang w:eastAsia="ru-RU"/>
        </w:rPr>
        <w:drawing>
          <wp:inline distT="0" distB="0" distL="0" distR="0" wp14:anchorId="23BD42A5" wp14:editId="2EB27CFF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44" w:rsidRDefault="00490344" w:rsidP="006C13A5">
      <w:pPr>
        <w:pStyle w:val="af0"/>
        <w:spacing w:before="8" w:after="0"/>
        <w:rPr>
          <w:sz w:val="25"/>
          <w:lang w:val="en-US"/>
        </w:rPr>
      </w:pPr>
    </w:p>
    <w:p w:rsidR="00490344" w:rsidRDefault="00490344" w:rsidP="006C13A5">
      <w:pPr>
        <w:pStyle w:val="af0"/>
        <w:spacing w:before="8" w:after="0"/>
        <w:rPr>
          <w:sz w:val="25"/>
          <w:lang w:val="en-US"/>
        </w:rPr>
      </w:pPr>
    </w:p>
    <w:p w:rsidR="00490344" w:rsidRPr="00490344" w:rsidRDefault="00490344" w:rsidP="006C13A5">
      <w:pPr>
        <w:pStyle w:val="af0"/>
        <w:spacing w:before="8" w:after="0"/>
        <w:rPr>
          <w:sz w:val="25"/>
          <w:lang w:val="en-US"/>
        </w:rPr>
      </w:pPr>
    </w:p>
    <w:p w:rsidR="00490344" w:rsidRPr="00490344" w:rsidRDefault="00490344" w:rsidP="0049034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34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>Принято:</w:t>
      </w:r>
    </w:p>
    <w:p w:rsidR="00490344" w:rsidRPr="00490344" w:rsidRDefault="00490344" w:rsidP="0049034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34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 xml:space="preserve">Решение Ученого совета </w:t>
      </w:r>
    </w:p>
    <w:p w:rsidR="00490344" w:rsidRPr="00490344" w:rsidRDefault="00490344" w:rsidP="0049034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34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>От «13» мая 2020 г.</w:t>
      </w:r>
    </w:p>
    <w:p w:rsidR="00490344" w:rsidRPr="00490344" w:rsidRDefault="00490344" w:rsidP="0049034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34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>Протокол №7</w:t>
      </w:r>
    </w:p>
    <w:p w:rsidR="00017C48" w:rsidRDefault="00017C48" w:rsidP="00017C48"/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38.03.01 - Экономика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Финансы и кредит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C13A5" w:rsidRDefault="006C13A5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C13A5" w:rsidRDefault="006C13A5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C13A5" w:rsidRDefault="006C13A5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490344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en-US"/>
        </w:rPr>
      </w:pPr>
      <w:r w:rsidRPr="00C66EF7">
        <w:rPr>
          <w:rStyle w:val="normaltextrun"/>
          <w:sz w:val="28"/>
          <w:szCs w:val="28"/>
        </w:rPr>
        <w:t>Москва, 20</w:t>
      </w:r>
      <w:r w:rsidR="00490344">
        <w:rPr>
          <w:rStyle w:val="normaltextrun"/>
          <w:sz w:val="28"/>
          <w:szCs w:val="28"/>
          <w:lang w:val="en-US"/>
        </w:rPr>
        <w:t>20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481F80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017C48">
              <w:rPr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</w:tr>
      <w:tr w:rsidR="00017C48" w:rsidTr="00FD26B4">
        <w:tc>
          <w:tcPr>
            <w:tcW w:w="9386" w:type="dxa"/>
          </w:tcPr>
          <w:p w:rsidR="00017C48" w:rsidRDefault="00481F80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r w:rsidR="00017C48">
              <w:rPr>
                <w:lang w:eastAsia="en-US"/>
              </w:rPr>
      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481F80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017C48" w:rsidRDefault="000259E0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259E0" w:rsidRDefault="000259E0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оценочных средств для проведения промежуто</w:t>
            </w:r>
            <w:r w:rsidR="00481F80">
              <w:rPr>
                <w:lang w:eastAsia="en-US"/>
              </w:rPr>
              <w:t xml:space="preserve">чной аттестации обучающихся по </w:t>
            </w:r>
            <w:r>
              <w:rPr>
                <w:lang w:eastAsia="en-US"/>
              </w:rPr>
              <w:t xml:space="preserve">учебной дисциплине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6F2E8B">
      <w:pPr>
        <w:tabs>
          <w:tab w:val="left" w:pos="993"/>
          <w:tab w:val="left" w:pos="1134"/>
        </w:tabs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соотнесенных с планируемыми результатами освоения образовательной программы</w:t>
      </w: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6F2E8B" w:rsidTr="006F2E8B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6F2E8B" w:rsidRPr="006F2E8B" w:rsidTr="006F2E8B">
        <w:trPr>
          <w:trHeight w:val="799"/>
        </w:trPr>
        <w:tc>
          <w:tcPr>
            <w:tcW w:w="1559" w:type="dxa"/>
            <w:vMerge w:val="restart"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ОК-6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Способность использовать основы правовых знаний в различных сферах деятельности 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Знать: </w:t>
            </w:r>
          </w:p>
          <w:p w:rsidR="006F2E8B" w:rsidRPr="006F2E8B" w:rsidRDefault="006F2E8B" w:rsidP="006F2E8B">
            <w:pPr>
              <w:widowControl/>
              <w:suppressAutoHyphens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содержание основных теоретических положений в области юриспруденции,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основные положения нормативно-правовых актов РФ</w:t>
            </w:r>
          </w:p>
        </w:tc>
      </w:tr>
      <w:tr w:rsidR="006F2E8B" w:rsidRPr="006F2E8B" w:rsidTr="006F2E8B">
        <w:trPr>
          <w:trHeight w:hRule="exact" w:val="1184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Уметь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 xml:space="preserve">: 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анализировать нормы отраслевого российского законодательства, работать с правоустанавливающими документами;</w:t>
            </w:r>
          </w:p>
        </w:tc>
      </w:tr>
      <w:tr w:rsidR="006F2E8B" w:rsidRPr="006F2E8B" w:rsidTr="006F2E8B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Владеть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навыками применения законодательства в различных</w:t>
            </w:r>
            <w:r w:rsidRPr="006F2E8B">
              <w:rPr>
                <w:rFonts w:ascii="Times New Roman" w:hAnsi="Times New Roman" w:cs="Times New Roman"/>
                <w:bCs/>
                <w:kern w:val="0"/>
                <w:sz w:val="24"/>
                <w:lang w:eastAsia="en-US"/>
              </w:rPr>
              <w:t xml:space="preserve"> сферах жизнедеятельности, </w:t>
            </w: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составления документов – налоговых деклараций, доверенностей, навыками подборки судебных доказательств по отдельным категориям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финансово-экономических споров.</w:t>
            </w:r>
          </w:p>
        </w:tc>
      </w:tr>
    </w:tbl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0" w:name="_Toc459975977"/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Место дисциплины в структуре образовательной программы бакалавриата</w:t>
      </w:r>
      <w:bookmarkEnd w:id="0"/>
    </w:p>
    <w:p w:rsidR="006F2E8B" w:rsidRPr="006F2E8B" w:rsidRDefault="006F2E8B" w:rsidP="006F2E8B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реализуется в рамках базовой части, входящей в содержание программы подготовки бакалавриата по направлению 38.03.01 Экономика.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Изучение учебной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обучающиеся смогут использовать при дальнейшем изучении учебных дисциплин: «</w:t>
      </w:r>
      <w:r>
        <w:rPr>
          <w:rFonts w:ascii="Times New Roman" w:hAnsi="Times New Roman" w:cs="Times New Roman"/>
          <w:kern w:val="0"/>
          <w:sz w:val="24"/>
          <w:lang w:eastAsia="ru-RU"/>
        </w:rPr>
        <w:t>Бухгалтерский учет и анализ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</w:t>
      </w:r>
      <w:r>
        <w:rPr>
          <w:rFonts w:ascii="Times New Roman" w:hAnsi="Times New Roman" w:cs="Times New Roman"/>
          <w:kern w:val="0"/>
          <w:sz w:val="24"/>
          <w:lang w:eastAsia="ru-RU"/>
        </w:rPr>
        <w:t>, «Страхование», «Налоги и налогообложение»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изучается:</w:t>
      </w:r>
    </w:p>
    <w:p w:rsid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lang w:eastAsia="ru-RU"/>
        </w:rPr>
        <w:t>на 2 курсе в 1 семестре – для очной формы обучения;</w:t>
      </w:r>
    </w:p>
    <w:p w:rsidR="006F2E8B" w:rsidRP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на 1 курсе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во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2 семестре – для заочной форм</w:t>
      </w:r>
      <w:r>
        <w:rPr>
          <w:rFonts w:ascii="Times New Roman" w:hAnsi="Times New Roman" w:cs="Times New Roman"/>
          <w:kern w:val="0"/>
          <w:sz w:val="24"/>
          <w:lang w:eastAsia="ru-RU"/>
        </w:rPr>
        <w:t>ы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 обучения.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widowControl/>
        <w:tabs>
          <w:tab w:val="left" w:pos="425"/>
          <w:tab w:val="left" w:pos="9298"/>
        </w:tabs>
        <w:suppressAutoHyphens w:val="0"/>
        <w:ind w:firstLine="654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зачетных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8A15A5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1"/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8A15A5" w:rsidTr="008A15A5">
        <w:tc>
          <w:tcPr>
            <w:tcW w:w="0" w:type="auto"/>
            <w:vMerge w:val="restart"/>
            <w:vAlign w:val="center"/>
          </w:tcPr>
          <w:p w:rsidR="008A15A5" w:rsidRPr="008A15A5" w:rsidRDefault="008A15A5" w:rsidP="008A15A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8A15A5" w:rsidTr="00FD26B4">
        <w:tc>
          <w:tcPr>
            <w:tcW w:w="0" w:type="auto"/>
            <w:vMerge/>
          </w:tcPr>
          <w:p w:rsidR="008A15A5" w:rsidRPr="008A15A5" w:rsidRDefault="008A15A5" w:rsidP="008A15A5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53BAF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8A15A5" w:rsidRPr="00176892" w:rsidTr="008A15A5">
        <w:tc>
          <w:tcPr>
            <w:tcW w:w="7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A15A5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8A15A5" w:rsidRPr="00176892" w:rsidTr="008A15A5"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8A15A5" w:rsidRPr="00176892" w:rsidTr="008A15A5">
        <w:trPr>
          <w:trHeight w:val="1862"/>
        </w:trPr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Правонарушение и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деятельности и </w:t>
            </w:r>
          </w:p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Зачет с оценкой</w:t>
            </w:r>
          </w:p>
        </w:tc>
      </w:tr>
    </w:tbl>
    <w:p w:rsidR="008A15A5" w:rsidRP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Федеральное Собрание (парламент) Российской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</w:p>
          <w:p w:rsidR="00FD26B4" w:rsidRPr="00FD26B4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lastRenderedPageBreak/>
        <w:t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lastRenderedPageBreak/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Понятие, принципы правового статуса гражданина. Гражданство. 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lastRenderedPageBreak/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Правительство РФ, его структура и полномочия. Органы исполнительной власти 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 xml:space="preserve"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</w:t>
      </w:r>
      <w:r w:rsidRPr="00AA7438">
        <w:rPr>
          <w:sz w:val="24"/>
          <w:szCs w:val="24"/>
        </w:rPr>
        <w:lastRenderedPageBreak/>
        <w:t>Договор купли-продажи. Защита прав потребителя. Договор найма (аренды) жилого 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lastRenderedPageBreak/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Default="009431D4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lastRenderedPageBreak/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2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lastRenderedPageBreak/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2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Практические</w:t>
            </w:r>
          </w:p>
          <w:p w:rsidR="009431D4" w:rsidRPr="00F577EA" w:rsidRDefault="009431D4" w:rsidP="004C0098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Устный 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Контрольный срез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D07ACF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397303" w:rsidRDefault="00D07ACF" w:rsidP="004C0098">
            <w:pPr>
              <w:autoSpaceDE w:val="0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397303" w:rsidRDefault="00D07ACF" w:rsidP="00D07ACF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 xml:space="preserve"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 с оценкой. При подготовке к сдаче зачета с оценкой обучающийся весь объем работы должен распределять </w:t>
            </w:r>
            <w:r w:rsidRPr="00397303">
              <w:rPr>
                <w:rFonts w:ascii="Times New Roman" w:hAnsi="Times New Roman" w:cs="Times New Roman"/>
                <w:sz w:val="24"/>
              </w:rPr>
              <w:lastRenderedPageBreak/>
              <w:t>равномерно по дням, отведенным для подготовки к зачету с оценкой, контролировать каждый день выполнение намеченной работы. По завершению изучения дисциплины сдается зачет с оценкой. В период подготовки к зачету с оценкой обучающийся вновь обращается к уже изученному (пройденному) учебному материалу. Подготовка обучающегося к зачету с оценкой включает в себя три этапа: самостоятельная работа в течение семестра; непосредственная подготовка в дни, предшествующие зачету с оценкой по темам курса; подготовка к ответу на задания, содержащиеся в билетах (тестах) зачета с оценкой. Зачет с оценкой проводится по билетам (тестам), охватывающим весь пройденный материал дисциплины, включая вопросы, отведенные для самостоятельного изучения. Для успешной сдачи зачета с оценкой по дисциплине «</w:t>
            </w:r>
            <w:r>
              <w:rPr>
                <w:rFonts w:ascii="Times New Roman" w:hAnsi="Times New Roman" w:cs="Times New Roman"/>
                <w:sz w:val="24"/>
              </w:rPr>
              <w:t>Правоведение</w:t>
            </w:r>
            <w:r w:rsidRPr="00397303">
              <w:rPr>
                <w:rFonts w:ascii="Times New Roman" w:hAnsi="Times New Roman" w:cs="Times New Roman"/>
                <w:sz w:val="24"/>
              </w:rPr>
              <w:t>» обучающиеся должны принимать во внимание, что: все основные категории «</w:t>
            </w:r>
            <w:r>
              <w:rPr>
                <w:rFonts w:ascii="Times New Roman" w:hAnsi="Times New Roman" w:cs="Times New Roman"/>
                <w:sz w:val="24"/>
              </w:rPr>
              <w:t>Правоведения</w:t>
            </w:r>
            <w:r w:rsidRPr="00397303">
              <w:rPr>
                <w:rFonts w:ascii="Times New Roman" w:hAnsi="Times New Roman" w:cs="Times New Roman"/>
                <w:sz w:val="24"/>
              </w:rPr>
              <w:t>», которые указаны в рабочей программе, нужно знать, понимать их смысл и уметь его разъяснить; указанные в рабочей программе формируемые общекультурные компетенции в результате освоения дисциплины должны быть продемонстрированы обучающимся; практические занятия способствуют получению более высокого уровня знаний и, как следствие, более высокой оценке на зачете; готовиться к зачету с оценкой необходимо начинать с первой лекции и первого практического занятия.</w:t>
            </w:r>
          </w:p>
        </w:tc>
      </w:tr>
      <w:tr w:rsidR="00D07ACF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132AF3" w:rsidRDefault="00D07ACF" w:rsidP="004C0098">
            <w:pPr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lastRenderedPageBreak/>
              <w:t>Подготовка к экзамену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132AF3" w:rsidRDefault="00D07ACF" w:rsidP="004C00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t>При подготовке к экзамену необходимо ориентироваться на конспекты   лекций, рабочую программу учебной дисциплины, нормативную, учебную и рекомендуемую литературу. Основное в подготовке к сдаче  экзамена - это повторение всего материала учебной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обучающийся вновь обращается к уже изученному (пройденному) учебному материалу.</w:t>
            </w:r>
          </w:p>
        </w:tc>
      </w:tr>
    </w:tbl>
    <w:p w:rsidR="00481F80" w:rsidRPr="00481F80" w:rsidRDefault="00481F80" w:rsidP="00481F80">
      <w:pPr>
        <w:tabs>
          <w:tab w:val="left" w:pos="567"/>
          <w:tab w:val="left" w:pos="851"/>
        </w:tabs>
        <w:spacing w:before="1"/>
        <w:ind w:right="-284" w:firstLine="567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481F80" w:rsidRPr="00481F80" w:rsidRDefault="00481F80" w:rsidP="00481F80">
      <w:pPr>
        <w:tabs>
          <w:tab w:val="left" w:pos="567"/>
          <w:tab w:val="left" w:pos="851"/>
        </w:tabs>
        <w:spacing w:before="1"/>
        <w:ind w:right="-284" w:firstLine="567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1F80">
        <w:rPr>
          <w:rFonts w:ascii="Times New Roman" w:hAnsi="Times New Roman" w:cs="Times New Roman"/>
          <w:b/>
          <w:sz w:val="24"/>
        </w:rPr>
        <w:t>10. Лицензионное программное обеспечение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/>
          <w:sz w:val="24"/>
        </w:rPr>
      </w:pP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481F80">
        <w:rPr>
          <w:rFonts w:ascii="Times New Roman" w:hAnsi="Times New Roman" w:cs="Times New Roman"/>
          <w:bCs/>
          <w:iCs/>
          <w:sz w:val="24"/>
        </w:rPr>
        <w:t>В про</w:t>
      </w:r>
      <w:r>
        <w:rPr>
          <w:rFonts w:ascii="Times New Roman" w:hAnsi="Times New Roman" w:cs="Times New Roman"/>
          <w:bCs/>
          <w:iCs/>
          <w:sz w:val="24"/>
        </w:rPr>
        <w:t xml:space="preserve">цессе обучения на </w:t>
      </w:r>
      <w:r w:rsidRPr="00481F80">
        <w:rPr>
          <w:rFonts w:ascii="Times New Roman" w:hAnsi="Times New Roman" w:cs="Times New Roman"/>
          <w:bCs/>
          <w:iCs/>
          <w:sz w:val="24"/>
        </w:rPr>
        <w:t xml:space="preserve">факультете </w:t>
      </w:r>
      <w:r>
        <w:rPr>
          <w:rFonts w:ascii="Times New Roman" w:hAnsi="Times New Roman" w:cs="Times New Roman"/>
          <w:bCs/>
          <w:iCs/>
          <w:sz w:val="24"/>
        </w:rPr>
        <w:t xml:space="preserve">экономики и права </w:t>
      </w:r>
      <w:r w:rsidRPr="00481F80">
        <w:rPr>
          <w:rFonts w:ascii="Times New Roman" w:hAnsi="Times New Roman" w:cs="Times New Roman"/>
          <w:bCs/>
          <w:iCs/>
          <w:sz w:val="24"/>
        </w:rPr>
        <w:t>по всем направлениям подготовки используется следующее лицензионное программное обеспечение: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iCs/>
          <w:sz w:val="24"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Программный </w:t>
            </w:r>
            <w:r>
              <w:rPr>
                <w:sz w:val="24"/>
                <w:szCs w:val="24"/>
              </w:rPr>
              <w:lastRenderedPageBreak/>
              <w:t>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Microsoft Open </w:t>
            </w:r>
            <w:r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04.11.2011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DrWEB Entrprise Suite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481F80" w:rsidRPr="00481F80" w:rsidRDefault="00481F80" w:rsidP="00481F80">
      <w:pPr>
        <w:ind w:right="-284" w:firstLine="567"/>
        <w:jc w:val="both"/>
        <w:rPr>
          <w:rFonts w:ascii="Times New Roman" w:hAnsi="Times New Roman" w:cs="Times New Roman"/>
          <w:sz w:val="24"/>
        </w:rPr>
      </w:pPr>
      <w:bookmarkStart w:id="3" w:name="_Toc459975990"/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/>
          <w:sz w:val="24"/>
        </w:rPr>
      </w:pPr>
      <w:r w:rsidRPr="00481F80">
        <w:rPr>
          <w:rFonts w:ascii="Times New Roman" w:hAnsi="Times New Roman" w:cs="Times New Roman"/>
          <w:b/>
          <w:sz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>Для построения эффективного учебного процесса Кафедра Финансы и кредит располагает следующими материально-техническими средствами, которые используются в процессе изучения дисциплины:</w:t>
      </w:r>
    </w:p>
    <w:p w:rsidR="00481F80" w:rsidRPr="00481F80" w:rsidRDefault="00481F80" w:rsidP="00481F80">
      <w:pPr>
        <w:widowControl/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sz w:val="24"/>
        </w:rPr>
      </w:pPr>
      <w:r w:rsidRPr="00481F80">
        <w:rPr>
          <w:rFonts w:ascii="Times New Roman" w:hAnsi="Times New Roman" w:cs="Times New Roman"/>
          <w:bCs/>
          <w:sz w:val="24"/>
        </w:rPr>
        <w:t>- доска;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481F80" w:rsidRPr="00481F80" w:rsidRDefault="00481F80" w:rsidP="00481F80">
      <w:pPr>
        <w:widowControl/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sz w:val="24"/>
        </w:rPr>
      </w:pPr>
      <w:r w:rsidRPr="00481F80">
        <w:rPr>
          <w:rFonts w:ascii="Times New Roman" w:hAnsi="Times New Roman" w:cs="Times New Roman"/>
          <w:bCs/>
          <w:sz w:val="24"/>
        </w:rPr>
        <w:t>- экран;</w:t>
      </w:r>
    </w:p>
    <w:p w:rsidR="00481F80" w:rsidRPr="00481F80" w:rsidRDefault="00481F80" w:rsidP="00481F80">
      <w:pPr>
        <w:widowControl/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sz w:val="24"/>
        </w:rPr>
      </w:pPr>
      <w:r w:rsidRPr="00481F80">
        <w:rPr>
          <w:rFonts w:ascii="Times New Roman" w:hAnsi="Times New Roman" w:cs="Times New Roman"/>
          <w:bCs/>
          <w:sz w:val="24"/>
        </w:rPr>
        <w:t>- мультимедийный проектор.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 xml:space="preserve">В процессе преподавания используются также специальные ресурсы кабинета экономики (305 ауд.). </w:t>
      </w:r>
    </w:p>
    <w:p w:rsidR="00481F80" w:rsidRPr="00481F80" w:rsidRDefault="00481F80" w:rsidP="00481F80">
      <w:pPr>
        <w:ind w:right="-284" w:firstLine="567"/>
        <w:jc w:val="both"/>
        <w:rPr>
          <w:rFonts w:ascii="Times New Roman" w:hAnsi="Times New Roman" w:cs="Times New Roman"/>
          <w:i/>
          <w:sz w:val="24"/>
        </w:rPr>
      </w:pPr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3"/>
    </w:p>
    <w:p w:rsidR="00481F80" w:rsidRDefault="00481F80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Pr="008845E8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4" w:name="_Toc459975991"/>
    </w:p>
    <w:p w:rsidR="009431D4" w:rsidRPr="008845E8" w:rsidRDefault="009431D4" w:rsidP="009431D4">
      <w:pPr>
        <w:autoSpaceDE w:val="0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4"/>
    </w:p>
    <w:p w:rsidR="009431D4" w:rsidRPr="008845E8" w:rsidRDefault="009431D4" w:rsidP="009431D4">
      <w:pPr>
        <w:keepNext/>
        <w:widowControl/>
        <w:suppressAutoHyphens w:val="0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12.1._Перечень_образовательных_технологи"/>
      <w:bookmarkStart w:id="6" w:name="_Toc459975992"/>
      <w:bookmarkEnd w:id="5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lastRenderedPageBreak/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9431D4">
      <w:pPr>
        <w:rPr>
          <w:b/>
          <w:lang w:eastAsia="ru-RU"/>
        </w:rPr>
      </w:pPr>
    </w:p>
    <w:p w:rsidR="009431D4" w:rsidRPr="00401AF6" w:rsidRDefault="009431D4" w:rsidP="009431D4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481F80" w:rsidRDefault="00481F80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/>
        <w:jc w:val="both"/>
        <w:rPr>
          <w:rFonts w:ascii="Times New Roman" w:hAnsi="Times New Roman" w:cs="Times New Roman"/>
          <w:b/>
          <w:sz w:val="24"/>
        </w:rPr>
      </w:pPr>
      <w:r w:rsidRPr="00481F80">
        <w:rPr>
          <w:rFonts w:ascii="Times New Roman" w:hAnsi="Times New Roman" w:cs="Times New Roman"/>
          <w:b/>
          <w:sz w:val="24"/>
        </w:rPr>
        <w:lastRenderedPageBreak/>
        <w:t>14. Лист регистрации изменений</w:t>
      </w: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/>
        <w:jc w:val="both"/>
        <w:rPr>
          <w:rFonts w:ascii="Times New Roman" w:hAnsi="Times New Roman" w:cs="Times New Roman"/>
          <w:sz w:val="24"/>
        </w:rPr>
      </w:pP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481F80" w:rsidRPr="00481F80" w:rsidTr="00481F8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481F80" w:rsidRPr="00481F80" w:rsidTr="00481F8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481F80" w:rsidRPr="00481F80" w:rsidTr="00481F8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481F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29.12.2015</w:t>
            </w:r>
          </w:p>
        </w:tc>
      </w:tr>
      <w:tr w:rsidR="00481F80" w:rsidRPr="00481F80" w:rsidTr="00481F8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pStyle w:val="Default"/>
              <w:ind w:right="-9"/>
              <w:jc w:val="both"/>
            </w:pPr>
            <w:r w:rsidRPr="00481F80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481F80" w:rsidRPr="00481F80" w:rsidTr="00481F8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6C13A5" w:rsidRPr="00481F80" w:rsidTr="00481F8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13A5" w:rsidRPr="006C13A5" w:rsidRDefault="006C13A5" w:rsidP="006C13A5">
            <w:pPr>
              <w:ind w:right="-9"/>
              <w:jc w:val="both"/>
              <w:rPr>
                <w:rFonts w:ascii="Times New Roman" w:hAnsi="Times New Roman" w:cs="Times New Roman"/>
                <w:sz w:val="24"/>
              </w:rPr>
            </w:pPr>
            <w:r w:rsidRPr="006C13A5">
              <w:rPr>
                <w:rFonts w:ascii="Times New Roman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6C13A5" w:rsidRDefault="006C13A5" w:rsidP="006C13A5">
            <w:pPr>
              <w:ind w:right="-9"/>
              <w:jc w:val="center"/>
              <w:rPr>
                <w:rFonts w:ascii="Times New Roman" w:hAnsi="Times New Roman" w:cs="Times New Roman"/>
                <w:sz w:val="24"/>
              </w:rPr>
            </w:pPr>
            <w:r w:rsidRPr="006C13A5">
              <w:rPr>
                <w:rFonts w:ascii="Times New Roman" w:hAnsi="Times New Roman" w:cs="Times New Roman"/>
                <w:sz w:val="24"/>
              </w:rPr>
              <w:t xml:space="preserve">Протокол заседания </w:t>
            </w:r>
            <w:r w:rsidRPr="006C13A5">
              <w:rPr>
                <w:rFonts w:ascii="Times New Roman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6C13A5" w:rsidRDefault="006C13A5" w:rsidP="006C13A5">
            <w:pPr>
              <w:ind w:left="-108" w:right="-9"/>
              <w:jc w:val="center"/>
              <w:rPr>
                <w:rFonts w:ascii="Times New Roman" w:hAnsi="Times New Roman" w:cs="Times New Roman"/>
                <w:sz w:val="24"/>
              </w:rPr>
            </w:pPr>
            <w:r w:rsidRPr="006C13A5"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6C13A5" w:rsidRPr="00481F80" w:rsidTr="00490344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13A5" w:rsidRPr="00481F80" w:rsidRDefault="006C13A5" w:rsidP="006C13A5">
            <w:pPr>
              <w:autoSpaceDE w:val="0"/>
              <w:ind w:right="-9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eastAsia="Calibri;Arial Unicode MS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eastAsia="Calibri;Arial Unicode MS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autoSpaceDE w:val="0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01.09.2019</w:t>
            </w:r>
          </w:p>
        </w:tc>
      </w:tr>
      <w:tr w:rsidR="00490344" w:rsidRPr="00481F80" w:rsidTr="00481F8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0344" w:rsidRPr="00481F80" w:rsidRDefault="00490344" w:rsidP="00490344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7" w:name="_GoBack" w:colFirst="1" w:colLast="3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344" w:rsidRPr="00490344" w:rsidRDefault="00490344" w:rsidP="00490344">
            <w:pPr>
              <w:autoSpaceDE w:val="0"/>
              <w:ind w:right="-9"/>
              <w:jc w:val="both"/>
              <w:rPr>
                <w:rFonts w:ascii="Times New Roman" w:eastAsia="Calibri;Arial Unicode MS" w:hAnsi="Times New Roman" w:cs="Times New Roman"/>
                <w:sz w:val="24"/>
              </w:rPr>
            </w:pPr>
            <w:r w:rsidRPr="00490344">
              <w:rPr>
                <w:rFonts w:ascii="Times New Roman" w:eastAsia="Calibri;Arial Unicode MS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0344" w:rsidRPr="00490344" w:rsidRDefault="00490344" w:rsidP="00490344">
            <w:pPr>
              <w:autoSpaceDE w:val="0"/>
              <w:ind w:right="-9"/>
              <w:jc w:val="center"/>
              <w:rPr>
                <w:rFonts w:ascii="Times New Roman" w:eastAsia="Calibri;Arial Unicode MS" w:hAnsi="Times New Roman" w:cs="Times New Roman"/>
                <w:sz w:val="24"/>
              </w:rPr>
            </w:pPr>
            <w:r w:rsidRPr="00490344">
              <w:rPr>
                <w:rFonts w:ascii="Times New Roman" w:eastAsia="Calibri;Arial Unicode MS" w:hAnsi="Times New Roman" w:cs="Times New Roman"/>
                <w:sz w:val="24"/>
              </w:rPr>
              <w:t xml:space="preserve">Протокол заседания </w:t>
            </w:r>
            <w:r w:rsidRPr="00490344">
              <w:rPr>
                <w:rFonts w:ascii="Times New Roman" w:eastAsia="Calibri;Arial Unicode MS" w:hAnsi="Times New Roman" w:cs="Times New Roman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0344" w:rsidRPr="00490344" w:rsidRDefault="00490344" w:rsidP="00490344">
            <w:pPr>
              <w:autoSpaceDE w:val="0"/>
              <w:ind w:left="-108" w:right="-9"/>
              <w:jc w:val="center"/>
              <w:rPr>
                <w:rFonts w:ascii="Times New Roman" w:eastAsia="Calibri;Arial Unicode MS" w:hAnsi="Times New Roman" w:cs="Times New Roman"/>
                <w:sz w:val="24"/>
              </w:rPr>
            </w:pPr>
            <w:r w:rsidRPr="00490344">
              <w:rPr>
                <w:rFonts w:ascii="Times New Roman" w:eastAsia="Calibri;Arial Unicode MS" w:hAnsi="Times New Roman" w:cs="Times New Roman"/>
                <w:sz w:val="24"/>
              </w:rPr>
              <w:t>01.09.2020</w:t>
            </w:r>
          </w:p>
        </w:tc>
      </w:tr>
      <w:bookmarkEnd w:id="7"/>
    </w:tbl>
    <w:p w:rsidR="00F97880" w:rsidRPr="00481F80" w:rsidRDefault="00F97880" w:rsidP="00481F80">
      <w:pPr>
        <w:widowControl/>
        <w:suppressAutoHyphens w:val="0"/>
        <w:ind w:right="-284"/>
        <w:jc w:val="both"/>
        <w:rPr>
          <w:rFonts w:ascii="Times New Roman" w:hAnsi="Times New Roman" w:cs="Times New Roman"/>
          <w:sz w:val="24"/>
        </w:rPr>
      </w:pPr>
    </w:p>
    <w:sectPr w:rsidR="00F97880" w:rsidRPr="00481F80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12" w:rsidRDefault="00031512" w:rsidP="008A15A5">
      <w:r>
        <w:separator/>
      </w:r>
    </w:p>
  </w:endnote>
  <w:endnote w:type="continuationSeparator" w:id="0">
    <w:p w:rsidR="00031512" w:rsidRDefault="00031512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FD26B4" w:rsidRDefault="00E32F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3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D26B4" w:rsidRDefault="00FD26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12" w:rsidRDefault="00031512" w:rsidP="008A15A5">
      <w:r>
        <w:separator/>
      </w:r>
    </w:p>
  </w:footnote>
  <w:footnote w:type="continuationSeparator" w:id="0">
    <w:p w:rsidR="00031512" w:rsidRDefault="00031512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990"/>
    <w:multiLevelType w:val="multilevel"/>
    <w:tmpl w:val="A0C096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A261FFB"/>
    <w:multiLevelType w:val="multilevel"/>
    <w:tmpl w:val="0A2C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031512"/>
    <w:rsid w:val="00142174"/>
    <w:rsid w:val="00352A6A"/>
    <w:rsid w:val="00357340"/>
    <w:rsid w:val="00481F80"/>
    <w:rsid w:val="0048370D"/>
    <w:rsid w:val="004901B4"/>
    <w:rsid w:val="00490344"/>
    <w:rsid w:val="00581017"/>
    <w:rsid w:val="006C13A5"/>
    <w:rsid w:val="006F2E8B"/>
    <w:rsid w:val="007A3B6C"/>
    <w:rsid w:val="008A15A5"/>
    <w:rsid w:val="009431D4"/>
    <w:rsid w:val="00AA7438"/>
    <w:rsid w:val="00AD0BA9"/>
    <w:rsid w:val="00CE287C"/>
    <w:rsid w:val="00D07ACF"/>
    <w:rsid w:val="00D25523"/>
    <w:rsid w:val="00D84EA5"/>
    <w:rsid w:val="00E03161"/>
    <w:rsid w:val="00E32FC1"/>
    <w:rsid w:val="00E361BF"/>
    <w:rsid w:val="00F61034"/>
    <w:rsid w:val="00F97880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204D"/>
  <w15:docId w15:val="{CE0047D2-1FE7-463A-96E9-F07E545E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  <w:style w:type="paragraph" w:customStyle="1" w:styleId="af2">
    <w:name w:val="Содержимое таблицы"/>
    <w:basedOn w:val="a"/>
    <w:rsid w:val="00481F80"/>
    <w:pPr>
      <w:suppressLineNumbers/>
      <w:spacing w:line="252" w:lineRule="auto"/>
      <w:ind w:firstLine="340"/>
      <w:jc w:val="both"/>
    </w:pPr>
    <w:rPr>
      <w:rFonts w:ascii="Times New Roman" w:hAnsi="Times New Roman" w:cs="Times New Roman"/>
      <w:kern w:val="0"/>
      <w:sz w:val="18"/>
      <w:szCs w:val="20"/>
    </w:rPr>
  </w:style>
  <w:style w:type="paragraph" w:customStyle="1" w:styleId="Default">
    <w:name w:val="Default"/>
    <w:rsid w:val="00481F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49F1E8-EA41-455E-AC7E-374609DB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17</cp:revision>
  <dcterms:created xsi:type="dcterms:W3CDTF">2020-01-22T11:03:00Z</dcterms:created>
  <dcterms:modified xsi:type="dcterms:W3CDTF">2022-09-14T11:06:00Z</dcterms:modified>
</cp:coreProperties>
</file>